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color w:val="FF0000"/>
          <w:spacing w:val="30"/>
          <w:sz w:val="9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pacing w:val="30"/>
          <w:sz w:val="96"/>
          <w:szCs w:val="36"/>
        </w:rPr>
        <w:t>南京明辉建设集团</w:t>
      </w:r>
    </w:p>
    <w:p>
      <w:pPr>
        <w:jc w:val="center"/>
        <w:rPr>
          <w:sz w:val="24"/>
          <w:szCs w:val="36"/>
        </w:rPr>
      </w:pPr>
    </w:p>
    <w:p>
      <w:pPr>
        <w:jc w:val="center"/>
        <w:rPr>
          <w:sz w:val="32"/>
          <w:szCs w:val="36"/>
        </w:rPr>
      </w:pPr>
      <w:r>
        <w:rPr>
          <w:rFonts w:hint="eastAsia" w:asciiTheme="majorEastAsia" w:hAnsiTheme="majorEastAsia" w:eastAsiaTheme="majorEastAsia" w:cstheme="majorEastAsia"/>
          <w:sz w:val="32"/>
          <w:szCs w:val="36"/>
        </w:rPr>
        <w:t>宁明辉字</w:t>
      </w:r>
      <w:r>
        <w:rPr>
          <w:rFonts w:hint="default" w:ascii="Times New Roman" w:hAnsi="Times New Roman" w:cs="Times New Roman" w:eastAsiaTheme="majorEastAsia"/>
          <w:sz w:val="32"/>
          <w:szCs w:val="36"/>
        </w:rPr>
        <w:t>【2015】39</w:t>
      </w:r>
      <w:r>
        <w:rPr>
          <w:rFonts w:hint="eastAsia" w:asciiTheme="majorEastAsia" w:hAnsiTheme="majorEastAsia" w:eastAsiaTheme="majorEastAsia" w:cstheme="majorEastAsia"/>
          <w:sz w:val="32"/>
          <w:szCs w:val="36"/>
        </w:rPr>
        <w:t>号</w:t>
      </w:r>
    </w:p>
    <w:p>
      <w:pPr>
        <w:jc w:val="center"/>
        <w:rPr>
          <w:sz w:val="32"/>
          <w:szCs w:val="36"/>
        </w:rPr>
      </w:pPr>
      <w:r>
        <w:rPr>
          <w:sz w:val="32"/>
          <w:szCs w:val="36"/>
        </w:rPr>
        <w:pict>
          <v:line id="直接连接符 6" o:spid="_x0000_s1026" o:spt="20" style="position:absolute;left:0pt;flip:x;margin-left:-9pt;margin-top:15.6pt;height:0pt;width:207pt;z-index:2516582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>
            <v:path arrowok="t"/>
            <v:fill focussize="0,0"/>
            <v:stroke weight="1pt" color="#FF0000"/>
            <v:imagedata o:title=""/>
            <o:lock v:ext="edit"/>
          </v:line>
        </w:pict>
      </w:r>
      <w:r>
        <w:rPr>
          <w:sz w:val="28"/>
        </w:rPr>
        <w:pict>
          <v:shape id="五角星 5" o:spid="_x0000_s1031" style="position:absolute;left:0pt;margin-left:207.85pt;margin-top:7.8pt;height:15.6pt;width:17.15pt;z-index:251659264;mso-width-relative:page;mso-height-relative:page;" fillcolor="#FF0000" filled="t" stroked="t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0,75675l83195,75675,108903,0,134610,75675,217805,75675,150499,122444,176208,198119,108903,151349,41597,198119,67306,122444,0,75675xe">
            <v:path o:connecttype="custom" o:connectlocs="0,75675;83195,75675;108903,0;134610,75675;217805,75675;150499,122444;176208,198119;108903,151349;41597,198119;67306,122444;0,75675" o:connectangles="0,0,0,0,0,0,0,0,0,0,0"/>
            <v:fill on="t" focussize="0,0"/>
            <v:stroke color="#FF0000" joinstyle="miter"/>
            <v:imagedata o:title=""/>
            <o:lock v:ext="edit"/>
          </v:shape>
        </w:pict>
      </w:r>
      <w:r>
        <w:rPr>
          <w:sz w:val="28"/>
        </w:rPr>
        <w:pict>
          <v:line id="直接连接符 4" o:spid="_x0000_s1030" o:spt="20" style="position:absolute;left:0pt;flip:x;margin-left:234pt;margin-top:15.6pt;height:0pt;width:198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spacing w:beforeLines="50" w:afterLines="50" w:line="52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关于对建设工程质量、安全隐患</w:t>
      </w:r>
    </w:p>
    <w:p>
      <w:pPr>
        <w:spacing w:beforeLines="50" w:afterLines="50" w:line="52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和大中型机械设备违规使用的处罚管理办法</w:t>
      </w:r>
    </w:p>
    <w:p>
      <w:pPr>
        <w:ind w:firstLine="420" w:firstLineChars="200"/>
        <w:rPr>
          <w:rFonts w:ascii="宋体" w:hAnsi="宋体"/>
          <w:szCs w:val="21"/>
        </w:rPr>
      </w:pP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为加强集团在建设施工过程中对安全文明生产、工程质量、扬尘管控隐患的管理，严格大中型机械设备的规范使用，现根据相关法规、政策的规定并结合本公司的实际情况，特制定本处罚办法。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一、建设工程质量、安全隐患的处罚管理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针对质量、安全隐患公司安全生产管理部门第一次签发整改单，如未及时整改，将执行文件中的有关处罚办法，如再次签发整改单后依然不改，根据上述罚款额双倍罚款，以此类推，上不封顶。处罚由安全生产管理部门直接签发处罚单，送达财务部门，在项目部支付款项中当月扣除。  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针对上级主管部门发出的整改单未及时整改回复，造成红、黄牌警告的分别按工程造价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5%、2%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罚款，并停止在我单位两年以上（含两年）工程施工。如发生重大或以上伤亡事故，公司将予重罚。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（一）工程质量管理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1、工程质量总目标及处罚办法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（1）工程验收一次合格率达到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100%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（2）分项、分部、单位工程验收合格率达到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100%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（3）全部工程达到现行施工质量验收标准，并满足设计及使用功能要求。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如项目部未完成总合同所约定的各项质量、安全指标及公司质量管理目标，除承担业主单位与公司约定的处罚之外，公司管理部门还将根据总合同标准对该项目部另行给予双倍处罚。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2、工程质量过程控制的管理目标及处罚办法</w:t>
      </w:r>
    </w:p>
    <w:p>
      <w:pPr>
        <w:spacing w:line="520" w:lineRule="exact"/>
        <w:ind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（1）制定创优计划，确定项目工程质量目标，并制定相应的质量保证措施。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实行层层分解，责任到人，落实到位，实施施工全过程的质量动态控制。未制定创优计划和确定项目工程质量目标，及未制定相应质量保证措施等，罚款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元，如达不到创优目标，处工程造价的1%罚款。</w:t>
      </w:r>
    </w:p>
    <w:p>
      <w:pPr>
        <w:spacing w:line="520" w:lineRule="exact"/>
        <w:ind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（2）工程开工前、项目技术人员负责对施工班组进行技术交底。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提出明确工程项目，技术标准，质量目标及质量保证措施，并形成交底记录。未交底并形成交底记录的罚款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元，编制虚假交底记录的处罚3000元。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（3）工程质量的验收程序，必须严格执行“三检制度”。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未经公司质量部门相关负责人验收，擅自通知监理单位验收等，罚款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（4）施工方案公司实行审批制度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。未经公司相关部门审核审批的罚款3000元。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（5）原材料及现场进行实体检测。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必须符合国家现行的质量规范要求,原材料未经检测合格后投入使用的罚款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元并承担一切后果。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（6）工程质量（安全）资料按规定收集、编制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。各种资料必须齐全有效，未实现一次验收合格的罚款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（7） 工程必须按合同规定履行交付。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未按规定履行一次性交付的，按建筑面积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元/㎡处罚，但最低不得低于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万元。水利及市政工程按工程造价的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3‰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罚款。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（二）工程安全管理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1、安全管理目标要求</w:t>
      </w:r>
    </w:p>
    <w:p>
      <w:pPr>
        <w:spacing w:line="520" w:lineRule="exact"/>
        <w:ind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（1）项目总安全目标。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杜绝重伤、死亡事故；轻伤事故率控制在1.5%以内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520" w:lineRule="exact"/>
        <w:ind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（2）安全教育目标。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新进厂工人“安全三级教育”达到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100%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（3）达到总合同及公司规定的文明工地目标。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（4）施工现场安全管理必须按照相关规定执行。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包含（资料管理、临边防护及洞口、脚手架工程、临时用电、机械管理等）。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2、安全文明管理处罚办法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（1）发生安全生产伤亡事故的。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死亡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人处罚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万，死亡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万，死亡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80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万，重伤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万，轻伤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万，瞒报安全生产伤亡事故的处罚每起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万元，并承担相应的法律责任。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（2）新进场工人未经“三级安全教育”。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建筑施工特种作业人员无证上岗，交底手续不完善，安全资料不完善，不使用规定表格和代签弄虚作假等。违反以上规定的处以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3000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元罚款。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（3）施工现场未按总合同及公司指定目标达到安全文明目标。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除合同内条款金额，公司并按照相同金额处以双倍处罚。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（4）施工现场安全管理未按照相关规定执行。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施工现场扬尘治理未按规定设置冲洗平台、临时围挡、道路硬化、土方覆盖等扬尘管控的处以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20000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元罚款，涉及到红牌、黄牌警告的分别按工程造价的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5%、2%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罚款。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料材堆放凌乱，施工现场脏、乱、差；食堂未领取卫生许可证和健康证；卫生间和临时道路未安排专人清扫；施工现场、生活区、办公区未设置安全消防器材及砌筑消防池等；电梯井口、楼梯口、通道口、预留洞口，防护栏杆未设置；施工人员不按规定穿戴个人防护用品的（含安全帽、安全带等）；临时用电方案未按规定编制；未经办理审批，未采用三相五线制供电，配电开关箱无防尘防雨措施，违反一机一闸规定，铁制箱无接零接地保护，电制箱卧放在地面上；民工宿舍工棚电气线路、灯具架设和安装不符合规定，使用违规电器等，处以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元罚款。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大型机械未按规范使用及办理手续的，除设备部门处罚外，安全生产部门另处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3000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元罚款。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脚手架无搭设方案或未经审批。高层建筑外脚手架未满铺竹笆、满挂安全网，及建筑垃圾等未及时清理的罚款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元。本决定未涉及到的违规行为，参照相应条款执行。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二、机械设备、钢管、扣件使用处罚管理办法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针对机械设备隐患和钢管、扣件违规使用，设备科第一次签发整改单，项目部接到设备隐患整改单必须及时整改，按期限整改到位后报设备供应公司复查。未报设备供应公司复查，擅自使用设备的处罚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10000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元/次；复查不合格的处罚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元/次，并禁止大型机械设备使用。处罚由设备管理部门直接签发处罚单，送达财务部门，在项目部支付款项中当月扣除。  </w:t>
      </w:r>
    </w:p>
    <w:p>
      <w:pPr>
        <w:spacing w:line="520" w:lineRule="exact"/>
        <w:ind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（一）大型机械、附墙安装完毕三日内必须自检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。参加单位：设备供应公司、生产技术部或者综合管理部，监理单位、安装单位、项目部。违者罚款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元/次。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（二）大型机械安装完成后必须申报上级部门检测。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检测合格后方可使用，违者罚款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元。</w:t>
      </w:r>
    </w:p>
    <w:p>
      <w:pPr>
        <w:spacing w:line="520" w:lineRule="exact"/>
        <w:ind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（三）项目部塔机定期检测。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使用期限超过1年的，应按上级部门规定进项检测，检测合格后方可使用；在规定期限不按规定检测，擅自使用的，处罚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元/次，并禁止使用。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（四）项目部强行违章指挥塔吊司机操作。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未按照以下规定操作的，项目部罚款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元，该罚款按次处罚。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、超负荷运行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、歪拉斜吊不吊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、指挥信号不明不吊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、安全装置失灵不吊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、散装物太满或捆绑不牢不吊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、埋在地下的物件不吊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、光线阴暗或看不清吊物不吊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、吊物上站人不吊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、吊物边缘无防护措施不吊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、六级以上强风不吊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、无卸料平台，在脚手架上材物不吊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、每台塔机必须配备专职的司索工、指挥工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、塔吊基础积水，塔吊司机不得上塔机作业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、基础承台桩头必须破碎后才允许起吊。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（五）施工升降机驾驶员无证上岗、酒后作业、驾驶员离开操作室不上锁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。对该项目部罚款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元/次，并立即劝退。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（六）大中型机械的作业人员无操作证上岗。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非公司提供的大中型机械设备作业人员无操作证上岗。处罚项目部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元/次；升降机楼层门一层不关罚款升降机司机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/次；升降机司机必须体检合格后方可上岗作业，未体检上岗的处罚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元/人，并由项目部补体检或劝退。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（七）大型机械设备由项目部招用的操作人员操作不当造成设备损害。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由项目部按损害金额给予赔偿，并处罚项目部罚款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元/次。</w:t>
      </w:r>
    </w:p>
    <w:p>
      <w:pPr>
        <w:spacing w:line="520" w:lineRule="exact"/>
        <w:ind w:firstLine="562" w:firstLineChars="200"/>
        <w:rPr>
          <w:rFonts w:hint="eastAsia" w:ascii="Times New Roman" w:hAnsi="Times New Roman" w:cs="Times New Roman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（八）设备日常保养做不到位，机械设备及驾驶室卫生不整洁。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限期整改未到位的罚款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元，未按要求限期整改的处罚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5000元；类似违规现象再次发生的双倍处罚。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（九）机械设备出现故障未上报带病操作的。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一经发现处罚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</w:rPr>
        <w:t>1000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元；限期整不到位的处罚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元，限期整改未整改的处罚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</w:rPr>
        <w:t>2000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元；类似违规现象再发生的双倍处罚。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（十）项目部使用的设备、钢管、扣件不服从公司统一安排的。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各项目部使用的设备、钢管、扣件必须服从公司的统一安排。不得私自在外租用。如发现项目部私自在外租用设备一律拆除，并处罚</w:t>
      </w:r>
      <w:r>
        <w:rPr>
          <w:rFonts w:hint="default" w:ascii="Times New Roman" w:hAnsi="Times New Roman" w:cs="Times New Roman" w:eastAsiaTheme="minorEastAsia"/>
          <w:bCs/>
          <w:sz w:val="28"/>
          <w:szCs w:val="28"/>
        </w:rPr>
        <w:t>50000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元；对私自在外租用钢管、扣件，发现一次处罚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</w:rPr>
        <w:t>50000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元，并按工程面积测算使用数量加倍收取租金。所使用的钢管不得私自切割，否则按切割后的每根钢管收取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</w:rPr>
        <w:t>10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元。</w:t>
      </w:r>
    </w:p>
    <w:p>
      <w:pPr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（十一）项目部在工程竣工后钢管、扣件丢失。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必须按丢失的数量赔偿，并按丢失的数量到财务部交款，否则按正常使用租金收取，工程竣工当年不赔偿的按丢失数量的</w:t>
      </w:r>
      <w:r>
        <w:rPr>
          <w:rFonts w:hint="eastAsia" w:ascii="Times New Roman" w:hAnsi="Times New Roman" w:cs="Times New Roman" w:eastAsiaTheme="minorEastAsia"/>
          <w:bCs/>
          <w:sz w:val="28"/>
          <w:szCs w:val="28"/>
        </w:rPr>
        <w:t>150%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金额收取。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本制度自即日起生效。</w:t>
      </w:r>
    </w:p>
    <w:p>
      <w:pPr>
        <w:spacing w:line="5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540" w:lineRule="exact"/>
        <w:ind w:firstLine="5880" w:firstLineChars="2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南京明辉建设集团</w:t>
      </w:r>
    </w:p>
    <w:p>
      <w:pPr>
        <w:spacing w:line="360" w:lineRule="auto"/>
        <w:ind w:firstLine="5740" w:firstLineChars="20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二〇一五年九月一日</w:t>
      </w:r>
    </w:p>
    <w:p>
      <w:pPr>
        <w:spacing w:line="360" w:lineRule="auto"/>
        <w:ind w:firstLine="5740" w:firstLineChars="205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5740" w:firstLineChars="205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5740" w:firstLineChars="205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5740" w:firstLineChars="205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5740" w:firstLineChars="2050"/>
        <w:rPr>
          <w:rFonts w:ascii="楷体_GB2312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pict>
          <v:line id="直接连接符 3" o:spid="_x0000_s1029" o:spt="20" style="position:absolute;left:0pt;margin-left:0pt;margin-top:18.6pt;height:0pt;width:423pt;z-index:2516551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主题词：工程质量 安全 机械设备 处罚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pict>
          <v:line id="直接连接符 2" o:spid="_x0000_s1028" o:spt="20" style="position:absolute;left:0pt;margin-left:0pt;margin-top:18.6pt;height:0pt;width:423pt;z-index:25165619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抄报：公司总经理  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pict>
          <v:line id="直接连接符 1" o:spid="_x0000_s1027" o:spt="20" style="position:absolute;left:0pt;margin-left:0pt;margin-top:18.6pt;height:0pt;width:432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南京明辉建设集团综合办公室印发           2015年9月1日印发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1F0"/>
    <w:rsid w:val="00271246"/>
    <w:rsid w:val="00277DE9"/>
    <w:rsid w:val="003B001E"/>
    <w:rsid w:val="003B175D"/>
    <w:rsid w:val="00413B96"/>
    <w:rsid w:val="006D1925"/>
    <w:rsid w:val="007645A2"/>
    <w:rsid w:val="008A15F8"/>
    <w:rsid w:val="009A01F0"/>
    <w:rsid w:val="00F70304"/>
    <w:rsid w:val="14EB5D39"/>
    <w:rsid w:val="4AB158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508</Words>
  <Characters>2898</Characters>
  <Lines>24</Lines>
  <Paragraphs>6</Paragraphs>
  <TotalTime>0</TotalTime>
  <ScaleCrop>false</ScaleCrop>
  <LinksUpToDate>false</LinksUpToDate>
  <CharactersWithSpaces>3400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2015-10-20T01:28:00Z</dcterms:created>
  <dc:creator>xingqing</dc:creator>
  <cp:lastModifiedBy>Administrator</cp:lastModifiedBy>
  <cp:lastPrinted>2016-02-18T00:42:00Z</cp:lastPrinted>
  <dcterms:modified xsi:type="dcterms:W3CDTF">2016-02-19T06:23:41Z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